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i w:val="0"/>
          <w:caps w:val="0"/>
          <w:color w:val="auto"/>
          <w:spacing w:val="0"/>
          <w:sz w:val="28"/>
          <w:szCs w:val="28"/>
          <w:shd w:val="clear" w:fill="FFFFFF"/>
        </w:rPr>
      </w:pPr>
      <w:r>
        <w:rPr>
          <w:rFonts w:hint="eastAsia" w:eastAsia="仿宋_GB2312"/>
          <w:bCs/>
          <w:color w:val="auto"/>
          <w:sz w:val="28"/>
          <w:szCs w:val="28"/>
          <w:lang w:val="en-US" w:eastAsia="zh-CN"/>
        </w:rPr>
        <w:t>附件1：</w:t>
      </w:r>
      <w:r>
        <w:rPr>
          <w:rFonts w:hint="eastAsia" w:ascii="仿宋" w:hAnsi="仿宋" w:eastAsia="仿宋" w:cs="仿宋"/>
          <w:i w:val="0"/>
          <w:caps w:val="0"/>
          <w:color w:val="auto"/>
          <w:spacing w:val="0"/>
          <w:sz w:val="28"/>
          <w:szCs w:val="28"/>
          <w:shd w:val="clear" w:fill="FFFFFF"/>
        </w:rPr>
        <w:t>2020年质谱平台能力提升合作项目</w:t>
      </w:r>
    </w:p>
    <w:p/>
    <w:tbl>
      <w:tblPr>
        <w:tblStyle w:val="3"/>
        <w:tblW w:w="880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1755"/>
        <w:gridCol w:w="204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jc w:val="center"/>
              <w:rPr>
                <w:rFonts w:hint="default" w:ascii="仿宋" w:hAnsi="仿宋" w:eastAsia="仿宋" w:cs="仿宋"/>
                <w:b/>
                <w:bCs/>
                <w:i w:val="0"/>
                <w:caps w:val="0"/>
                <w:color w:val="auto"/>
                <w:spacing w:val="0"/>
                <w:sz w:val="28"/>
                <w:szCs w:val="28"/>
                <w:shd w:val="clear" w:fill="FFFFFF"/>
                <w:vertAlign w:val="baseline"/>
                <w:lang w:val="en-US" w:eastAsia="zh-CN"/>
              </w:rPr>
            </w:pPr>
            <w:r>
              <w:rPr>
                <w:rFonts w:hint="eastAsia" w:ascii="仿宋" w:hAnsi="仿宋" w:eastAsia="仿宋" w:cs="仿宋"/>
                <w:b/>
                <w:bCs/>
                <w:i w:val="0"/>
                <w:caps w:val="0"/>
                <w:color w:val="auto"/>
                <w:spacing w:val="0"/>
                <w:sz w:val="28"/>
                <w:szCs w:val="28"/>
                <w:shd w:val="clear" w:fill="FFFFFF"/>
                <w:vertAlign w:val="baseline"/>
                <w:lang w:val="en-US" w:eastAsia="zh-CN"/>
              </w:rPr>
              <w:t>项目名称</w:t>
            </w:r>
          </w:p>
        </w:tc>
        <w:tc>
          <w:tcPr>
            <w:tcW w:w="1755" w:type="dxa"/>
          </w:tcPr>
          <w:p>
            <w:pPr>
              <w:jc w:val="center"/>
              <w:rPr>
                <w:rFonts w:hint="default" w:ascii="仿宋" w:hAnsi="仿宋" w:eastAsia="仿宋" w:cs="仿宋"/>
                <w:b/>
                <w:bCs/>
                <w:i w:val="0"/>
                <w:caps w:val="0"/>
                <w:color w:val="auto"/>
                <w:spacing w:val="0"/>
                <w:sz w:val="28"/>
                <w:szCs w:val="28"/>
                <w:shd w:val="clear" w:fill="FFFFFF"/>
                <w:vertAlign w:val="baseline"/>
                <w:lang w:val="en-US" w:eastAsia="zh-CN"/>
              </w:rPr>
            </w:pPr>
            <w:r>
              <w:rPr>
                <w:rFonts w:hint="eastAsia" w:ascii="仿宋" w:hAnsi="仿宋" w:eastAsia="仿宋" w:cs="仿宋"/>
                <w:b/>
                <w:bCs/>
                <w:i w:val="0"/>
                <w:caps w:val="0"/>
                <w:color w:val="auto"/>
                <w:spacing w:val="0"/>
                <w:sz w:val="28"/>
                <w:szCs w:val="28"/>
                <w:shd w:val="clear" w:fill="FFFFFF"/>
                <w:vertAlign w:val="baseline"/>
                <w:lang w:val="en-US" w:eastAsia="zh-CN"/>
              </w:rPr>
              <w:t>申请人</w:t>
            </w:r>
          </w:p>
        </w:tc>
        <w:tc>
          <w:tcPr>
            <w:tcW w:w="2040" w:type="dxa"/>
          </w:tcPr>
          <w:p>
            <w:pPr>
              <w:jc w:val="center"/>
              <w:rPr>
                <w:rFonts w:hint="default" w:ascii="仿宋" w:hAnsi="仿宋" w:eastAsia="仿宋" w:cs="仿宋"/>
                <w:b/>
                <w:bCs/>
                <w:i w:val="0"/>
                <w:caps w:val="0"/>
                <w:color w:val="auto"/>
                <w:spacing w:val="0"/>
                <w:sz w:val="28"/>
                <w:szCs w:val="28"/>
                <w:shd w:val="clear" w:fill="FFFFFF"/>
                <w:vertAlign w:val="baseline"/>
                <w:lang w:val="en-US" w:eastAsia="zh-CN"/>
              </w:rPr>
            </w:pPr>
            <w:r>
              <w:rPr>
                <w:rFonts w:hint="eastAsia" w:ascii="仿宋" w:hAnsi="仿宋" w:eastAsia="仿宋" w:cs="仿宋"/>
                <w:b/>
                <w:bCs/>
                <w:i w:val="0"/>
                <w:caps w:val="0"/>
                <w:color w:val="auto"/>
                <w:spacing w:val="0"/>
                <w:sz w:val="28"/>
                <w:szCs w:val="28"/>
                <w:shd w:val="clear" w:fill="FFFFFF"/>
                <w:vertAlign w:val="baseline"/>
                <w:lang w:val="en-US" w:eastAsia="zh-CN"/>
              </w:rPr>
              <w:t>单位</w:t>
            </w:r>
          </w:p>
        </w:tc>
        <w:tc>
          <w:tcPr>
            <w:tcW w:w="1455" w:type="dxa"/>
          </w:tcPr>
          <w:p>
            <w:pPr>
              <w:jc w:val="center"/>
              <w:rPr>
                <w:rFonts w:hint="default" w:ascii="仿宋" w:hAnsi="仿宋" w:eastAsia="仿宋" w:cs="仿宋"/>
                <w:b/>
                <w:bCs/>
                <w:i w:val="0"/>
                <w:caps w:val="0"/>
                <w:color w:val="auto"/>
                <w:spacing w:val="0"/>
                <w:sz w:val="28"/>
                <w:szCs w:val="28"/>
                <w:shd w:val="clear" w:fill="FFFFFF"/>
                <w:vertAlign w:val="baseline"/>
                <w:lang w:val="en-US" w:eastAsia="zh-CN"/>
              </w:rPr>
            </w:pPr>
            <w:r>
              <w:rPr>
                <w:rFonts w:hint="eastAsia" w:ascii="仿宋" w:hAnsi="仿宋" w:eastAsia="仿宋" w:cs="仿宋"/>
                <w:b/>
                <w:bCs/>
                <w:i w:val="0"/>
                <w:caps w:val="0"/>
                <w:color w:val="auto"/>
                <w:spacing w:val="0"/>
                <w:sz w:val="28"/>
                <w:szCs w:val="28"/>
                <w:shd w:val="clear" w:fill="FFFFFF"/>
                <w:vertAlign w:val="baseline"/>
                <w:lang w:val="en-US" w:eastAsia="zh-CN"/>
              </w:rPr>
              <w:t>资助额度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3555" w:type="dxa"/>
            <w:vAlign w:val="center"/>
          </w:tcPr>
          <w:p>
            <w:pPr>
              <w:jc w:val="both"/>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MAPK信号整合激酶2（MNK2）治疗后心梗小鼠预后评价及生物标志物的蛋白质组学研究</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王连生</w:t>
            </w:r>
          </w:p>
        </w:tc>
        <w:tc>
          <w:tcPr>
            <w:tcW w:w="2040"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南京医科大学第一附属医院</w:t>
            </w:r>
          </w:p>
        </w:tc>
        <w:tc>
          <w:tcPr>
            <w:tcW w:w="14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55" w:type="dxa"/>
            <w:vAlign w:val="center"/>
          </w:tcPr>
          <w:p>
            <w:pPr>
              <w:jc w:val="both"/>
              <w:rPr>
                <w:rFonts w:hint="default" w:ascii="仿宋" w:hAnsi="仿宋" w:eastAsia="仿宋" w:cs="仿宋"/>
                <w:i w:val="0"/>
                <w:caps w:val="0"/>
                <w:color w:val="auto"/>
                <w:spacing w:val="0"/>
                <w:sz w:val="28"/>
                <w:szCs w:val="28"/>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基于质谱检测的蛋白质组学研究乳腺癌赫赛汀耐药血清生物标志物及其分子机制</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谢晖</w:t>
            </w:r>
          </w:p>
        </w:tc>
        <w:tc>
          <w:tcPr>
            <w:tcW w:w="2040"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江苏省妇幼保健院</w:t>
            </w:r>
          </w:p>
        </w:tc>
        <w:tc>
          <w:tcPr>
            <w:tcW w:w="14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555" w:type="dxa"/>
            <w:vAlign w:val="center"/>
          </w:tcPr>
          <w:p>
            <w:pPr>
              <w:jc w:val="both"/>
              <w:rPr>
                <w:rFonts w:hint="default" w:ascii="仿宋" w:hAnsi="仿宋" w:eastAsia="仿宋" w:cs="仿宋"/>
                <w:i w:val="0"/>
                <w:caps w:val="0"/>
                <w:color w:val="auto"/>
                <w:spacing w:val="0"/>
                <w:sz w:val="28"/>
                <w:szCs w:val="28"/>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代谢组学和蛋白质组学在自身免疫性甲状腺疾病中的应用及甲状腺肿瘤生物标记物的筛选</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郑旭琴</w:t>
            </w:r>
          </w:p>
        </w:tc>
        <w:tc>
          <w:tcPr>
            <w:tcW w:w="2040" w:type="dxa"/>
            <w:vAlign w:val="center"/>
          </w:tcPr>
          <w:p>
            <w:pPr>
              <w:jc w:val="center"/>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南京医科大学第一附属医院</w:t>
            </w:r>
          </w:p>
        </w:tc>
        <w:tc>
          <w:tcPr>
            <w:tcW w:w="1455" w:type="dxa"/>
            <w:vAlign w:val="center"/>
          </w:tcPr>
          <w:p>
            <w:pPr>
              <w:jc w:val="center"/>
              <w:rPr>
                <w:rFonts w:hint="default" w:ascii="仿宋" w:hAnsi="仿宋" w:eastAsia="仿宋" w:cs="仿宋"/>
                <w:i w:val="0"/>
                <w:caps w:val="0"/>
                <w:color w:val="auto"/>
                <w:spacing w:val="0"/>
                <w:kern w:val="2"/>
                <w:sz w:val="24"/>
                <w:szCs w:val="24"/>
                <w:shd w:val="clear" w:fill="FFFFFF"/>
                <w:vertAlign w:val="baseline"/>
                <w:lang w:val="en-US" w:eastAsia="zh-CN" w:bidi="ar-SA"/>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555" w:type="dxa"/>
            <w:vAlign w:val="center"/>
          </w:tcPr>
          <w:p>
            <w:pPr>
              <w:jc w:val="both"/>
              <w:rPr>
                <w:rFonts w:hint="default" w:ascii="仿宋" w:hAnsi="仿宋" w:eastAsia="仿宋" w:cs="仿宋"/>
                <w:i w:val="0"/>
                <w:caps w:val="0"/>
                <w:color w:val="auto"/>
                <w:spacing w:val="0"/>
                <w:sz w:val="28"/>
                <w:szCs w:val="28"/>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基于代谢组学的冠心病血液标志物筛选及其临床应用</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鲁翔</w:t>
            </w:r>
          </w:p>
        </w:tc>
        <w:tc>
          <w:tcPr>
            <w:tcW w:w="2040"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南京医科大学附属逸夫医院</w:t>
            </w:r>
          </w:p>
        </w:tc>
        <w:tc>
          <w:tcPr>
            <w:tcW w:w="14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555" w:type="dxa"/>
            <w:vAlign w:val="center"/>
          </w:tcPr>
          <w:p>
            <w:pPr>
              <w:jc w:val="both"/>
              <w:rPr>
                <w:rFonts w:hint="default" w:ascii="仿宋" w:hAnsi="仿宋" w:eastAsia="仿宋" w:cs="仿宋"/>
                <w:i w:val="0"/>
                <w:caps w:val="0"/>
                <w:color w:val="auto"/>
                <w:spacing w:val="0"/>
                <w:sz w:val="28"/>
                <w:szCs w:val="28"/>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基于外泌体源性蛋白组学的胰腺癌早期诊断生物标志物研究</w:t>
            </w:r>
          </w:p>
        </w:tc>
        <w:tc>
          <w:tcPr>
            <w:tcW w:w="1755"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default" w:ascii="仿宋" w:hAnsi="仿宋" w:eastAsia="仿宋" w:cs="仿宋"/>
                <w:i w:val="0"/>
                <w:caps w:val="0"/>
                <w:color w:val="auto"/>
                <w:spacing w:val="0"/>
                <w:sz w:val="24"/>
                <w:szCs w:val="24"/>
                <w:shd w:val="clear" w:fill="FFFFFF"/>
                <w:vertAlign w:val="baseline"/>
                <w:lang w:val="en-US" w:eastAsia="zh-CN"/>
              </w:rPr>
              <w:t>蒋奎荣</w:t>
            </w:r>
          </w:p>
        </w:tc>
        <w:tc>
          <w:tcPr>
            <w:tcW w:w="2040"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南京医科大学第一附属医院</w:t>
            </w:r>
          </w:p>
        </w:tc>
        <w:tc>
          <w:tcPr>
            <w:tcW w:w="14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vAlign w:val="center"/>
          </w:tcPr>
          <w:p>
            <w:pPr>
              <w:jc w:val="both"/>
              <w:rPr>
                <w:rFonts w:hint="default" w:ascii="仿宋" w:hAnsi="仿宋" w:eastAsia="仿宋" w:cs="仿宋"/>
                <w:i w:val="0"/>
                <w:caps w:val="0"/>
                <w:color w:val="auto"/>
                <w:spacing w:val="0"/>
                <w:sz w:val="28"/>
                <w:szCs w:val="28"/>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质谱精准检测慢性肾脏病患者的多片段甲状旁腺激素及与心率昼夜节律的相关性研究</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王宁宁</w:t>
            </w:r>
          </w:p>
        </w:tc>
        <w:tc>
          <w:tcPr>
            <w:tcW w:w="2040"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南京医科大学第一附属医院</w:t>
            </w:r>
          </w:p>
        </w:tc>
        <w:tc>
          <w:tcPr>
            <w:tcW w:w="14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vAlign w:val="center"/>
          </w:tcPr>
          <w:p>
            <w:pPr>
              <w:jc w:val="both"/>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茵栀黄调控的胆汁酸代谢菌群改善胆汁淤积性肝病</w:t>
            </w:r>
          </w:p>
        </w:tc>
        <w:tc>
          <w:tcPr>
            <w:tcW w:w="1755" w:type="dxa"/>
            <w:vAlign w:val="center"/>
          </w:tcPr>
          <w:p>
            <w:pPr>
              <w:jc w:val="center"/>
              <w:rPr>
                <w:rFonts w:hint="default" w:ascii="仿宋" w:hAnsi="仿宋" w:eastAsia="仿宋" w:cs="仿宋"/>
                <w:i w:val="0"/>
                <w:caps w:val="0"/>
                <w:color w:val="auto"/>
                <w:spacing w:val="0"/>
                <w:sz w:val="24"/>
                <w:szCs w:val="24"/>
                <w:shd w:val="clear" w:fill="FFFFFF"/>
                <w:vertAlign w:val="baseline"/>
                <w:lang w:val="en-US" w:eastAsia="zh-CN"/>
              </w:rPr>
            </w:pPr>
            <w:r>
              <w:rPr>
                <w:rFonts w:hint="default" w:ascii="仿宋" w:hAnsi="仿宋" w:eastAsia="仿宋" w:cs="仿宋"/>
                <w:i w:val="0"/>
                <w:caps w:val="0"/>
                <w:color w:val="auto"/>
                <w:spacing w:val="0"/>
                <w:sz w:val="24"/>
                <w:szCs w:val="24"/>
                <w:shd w:val="clear" w:fill="FFFFFF"/>
                <w:vertAlign w:val="baseline"/>
                <w:lang w:val="en-US" w:eastAsia="zh-CN"/>
              </w:rPr>
              <w:t>韦忠红</w:t>
            </w:r>
          </w:p>
        </w:tc>
        <w:tc>
          <w:tcPr>
            <w:tcW w:w="2040" w:type="dxa"/>
            <w:vAlign w:val="center"/>
          </w:tcPr>
          <w:p>
            <w:pPr>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南京医科大学附属儿童医院</w:t>
            </w:r>
          </w:p>
        </w:tc>
        <w:tc>
          <w:tcPr>
            <w:tcW w:w="1455" w:type="dxa"/>
            <w:vAlign w:val="center"/>
          </w:tcPr>
          <w:p>
            <w:pPr>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30F7A"/>
    <w:rsid w:val="7D03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2020-11-13T01:30:00Z</dcterms:created>
  <dc:creator>Nancy</dc:creator>
  <cp:lastModifiedBy>Nancy</cp:lastModifiedBy>
  <dcterms:modified xsi:type="dcterms:W3CDTF">2020-11-13T01:32:18Z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